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09" w:rsidRPr="00332A35" w:rsidRDefault="00332A35" w:rsidP="005E770E">
      <w:pPr>
        <w:spacing w:line="240" w:lineRule="auto"/>
        <w:jc w:val="center"/>
        <w:rPr>
          <w:b/>
          <w:sz w:val="32"/>
          <w:szCs w:val="32"/>
        </w:rPr>
      </w:pPr>
      <w:r w:rsidRPr="00332A35">
        <w:rPr>
          <w:b/>
          <w:sz w:val="32"/>
          <w:szCs w:val="32"/>
        </w:rPr>
        <w:t>City of Dania Beach</w:t>
      </w:r>
    </w:p>
    <w:p w:rsidR="00332A35" w:rsidRDefault="00C2690D" w:rsidP="005E770E">
      <w:pPr>
        <w:spacing w:after="0" w:line="240" w:lineRule="auto"/>
        <w:jc w:val="center"/>
      </w:pPr>
      <w:r>
        <w:t>RFQ 15-019</w:t>
      </w:r>
    </w:p>
    <w:p w:rsidR="00332A35" w:rsidRDefault="00C2690D" w:rsidP="005E770E">
      <w:pPr>
        <w:spacing w:after="0" w:line="240" w:lineRule="auto"/>
        <w:jc w:val="center"/>
      </w:pPr>
      <w:r>
        <w:t>Security Officers for City Hall Properties</w:t>
      </w:r>
    </w:p>
    <w:p w:rsidR="00332A35" w:rsidRDefault="00332A35" w:rsidP="005E770E">
      <w:pPr>
        <w:spacing w:after="0" w:line="240" w:lineRule="auto"/>
        <w:jc w:val="center"/>
      </w:pPr>
      <w:r>
        <w:t>Proposal Recommendation Meeting</w:t>
      </w:r>
    </w:p>
    <w:p w:rsidR="00332A35" w:rsidRDefault="00332A35" w:rsidP="005E770E">
      <w:pPr>
        <w:spacing w:after="0" w:line="240" w:lineRule="auto"/>
        <w:jc w:val="center"/>
      </w:pPr>
      <w:r>
        <w:t>Ma</w:t>
      </w:r>
      <w:r w:rsidR="00C2690D">
        <w:t>y 13</w:t>
      </w:r>
      <w:r>
        <w:t>, 2016</w:t>
      </w:r>
    </w:p>
    <w:p w:rsidR="00332A35" w:rsidRDefault="00C2690D" w:rsidP="005E770E">
      <w:pPr>
        <w:spacing w:after="0" w:line="240" w:lineRule="auto"/>
        <w:jc w:val="center"/>
      </w:pPr>
      <w:r>
        <w:t>1:30</w:t>
      </w:r>
      <w:r w:rsidR="00332A35">
        <w:t>pm</w:t>
      </w:r>
    </w:p>
    <w:p w:rsidR="00332A35" w:rsidRDefault="00332A35" w:rsidP="005E770E">
      <w:pPr>
        <w:spacing w:line="240" w:lineRule="auto"/>
      </w:pPr>
    </w:p>
    <w:p w:rsidR="005E770E" w:rsidRDefault="005E770E" w:rsidP="005E770E">
      <w:pPr>
        <w:spacing w:line="240" w:lineRule="auto"/>
        <w:rPr>
          <w:b/>
        </w:rPr>
      </w:pPr>
      <w:r>
        <w:rPr>
          <w:b/>
        </w:rPr>
        <w:t>Background:</w:t>
      </w:r>
    </w:p>
    <w:p w:rsidR="005E770E" w:rsidRPr="005E770E" w:rsidRDefault="005E770E" w:rsidP="005E770E">
      <w:pPr>
        <w:spacing w:line="240" w:lineRule="auto"/>
      </w:pPr>
      <w:r>
        <w:t>The Administration issued RFQ 15-019 to seek proposals from qualified firms to provide security officers for City Hall properties.</w:t>
      </w:r>
    </w:p>
    <w:p w:rsidR="00332A35" w:rsidRPr="00332A35" w:rsidRDefault="00D14664" w:rsidP="005E770E">
      <w:pPr>
        <w:spacing w:line="240" w:lineRule="auto"/>
        <w:rPr>
          <w:b/>
        </w:rPr>
      </w:pPr>
      <w:r>
        <w:rPr>
          <w:b/>
        </w:rPr>
        <w:t>Bid</w:t>
      </w:r>
      <w:r w:rsidR="00332A35" w:rsidRPr="00332A35">
        <w:rPr>
          <w:b/>
        </w:rPr>
        <w:t xml:space="preserve"> Review Committee:</w:t>
      </w:r>
    </w:p>
    <w:p w:rsidR="005C6148" w:rsidRDefault="00C2690D" w:rsidP="005E770E">
      <w:pPr>
        <w:pStyle w:val="ListParagraph"/>
        <w:numPr>
          <w:ilvl w:val="0"/>
          <w:numId w:val="2"/>
        </w:numPr>
        <w:spacing w:line="240" w:lineRule="auto"/>
      </w:pPr>
      <w:r>
        <w:t>Colin Donnelly</w:t>
      </w:r>
      <w:r w:rsidR="00352CAC">
        <w:t xml:space="preserve">, </w:t>
      </w:r>
      <w:r>
        <w:t>Assistant City Manager</w:t>
      </w:r>
    </w:p>
    <w:p w:rsidR="005C6148" w:rsidRDefault="00C2690D" w:rsidP="005E770E">
      <w:pPr>
        <w:pStyle w:val="ListParagraph"/>
        <w:numPr>
          <w:ilvl w:val="0"/>
          <w:numId w:val="2"/>
        </w:numPr>
        <w:spacing w:line="240" w:lineRule="auto"/>
      </w:pPr>
      <w:r>
        <w:t xml:space="preserve">Brad Kaine, </w:t>
      </w:r>
      <w:r w:rsidR="00352CAC">
        <w:t>Publi</w:t>
      </w:r>
      <w:r>
        <w:t>c Services Director</w:t>
      </w:r>
    </w:p>
    <w:p w:rsidR="005C6148" w:rsidRDefault="005C6148" w:rsidP="005E770E">
      <w:pPr>
        <w:pStyle w:val="ListParagraph"/>
        <w:numPr>
          <w:ilvl w:val="0"/>
          <w:numId w:val="2"/>
        </w:numPr>
        <w:spacing w:line="240" w:lineRule="auto"/>
      </w:pPr>
      <w:r>
        <w:t>Tania Stevens, Senior Accountant/Purchasing Coordinator</w:t>
      </w:r>
    </w:p>
    <w:p w:rsidR="00C2690D" w:rsidRDefault="00C2690D" w:rsidP="005E770E">
      <w:pPr>
        <w:pStyle w:val="ListParagraph"/>
        <w:numPr>
          <w:ilvl w:val="0"/>
          <w:numId w:val="2"/>
        </w:numPr>
        <w:spacing w:line="240" w:lineRule="auto"/>
      </w:pPr>
      <w:r>
        <w:t>Eric Walton, Code Compliance Manager</w:t>
      </w:r>
    </w:p>
    <w:p w:rsidR="00332A35" w:rsidRDefault="00C2690D" w:rsidP="005E770E">
      <w:pPr>
        <w:spacing w:line="240" w:lineRule="auto"/>
        <w:rPr>
          <w:b/>
        </w:rPr>
      </w:pPr>
      <w:r>
        <w:rPr>
          <w:b/>
        </w:rPr>
        <w:t>RFQ</w:t>
      </w:r>
      <w:r w:rsidR="005C6148">
        <w:rPr>
          <w:b/>
        </w:rPr>
        <w:t xml:space="preserve"> Process:</w:t>
      </w:r>
    </w:p>
    <w:p w:rsidR="005E770E" w:rsidRDefault="005E770E" w:rsidP="005E770E">
      <w:pPr>
        <w:spacing w:line="240" w:lineRule="auto"/>
        <w:jc w:val="both"/>
      </w:pPr>
      <w:r>
        <w:t>The RFP was advertised on November 11, 2015. On December 18, 2015, the City received proposals from the following firms:</w:t>
      </w:r>
    </w:p>
    <w:p w:rsidR="005E770E" w:rsidRDefault="005E770E" w:rsidP="001D44FE">
      <w:pPr>
        <w:pStyle w:val="BodyText"/>
        <w:spacing w:after="0" w:line="240" w:lineRule="auto"/>
        <w:ind w:left="720"/>
      </w:pPr>
      <w:r>
        <w:tab/>
      </w:r>
      <w:r>
        <w:tab/>
      </w:r>
      <w:r>
        <w:tab/>
        <w:t>Andy Frain Services, Inc.</w:t>
      </w:r>
    </w:p>
    <w:p w:rsidR="005E770E" w:rsidRDefault="005E770E" w:rsidP="001D44FE">
      <w:pPr>
        <w:pStyle w:val="BodyText"/>
        <w:spacing w:after="0" w:line="240" w:lineRule="auto"/>
        <w:ind w:left="720"/>
      </w:pPr>
      <w:r>
        <w:tab/>
      </w:r>
      <w:r>
        <w:tab/>
      </w:r>
      <w:r>
        <w:tab/>
        <w:t>Diamond Investigations &amp; Security</w:t>
      </w:r>
    </w:p>
    <w:p w:rsidR="005E770E" w:rsidRDefault="005E770E" w:rsidP="001D44FE">
      <w:pPr>
        <w:pStyle w:val="BodyText"/>
        <w:spacing w:after="0" w:line="240" w:lineRule="auto"/>
        <w:ind w:left="720"/>
      </w:pPr>
      <w:r>
        <w:tab/>
      </w:r>
      <w:r>
        <w:tab/>
      </w:r>
      <w:r>
        <w:tab/>
        <w:t>Excelsior Defense, Inc.</w:t>
      </w:r>
    </w:p>
    <w:p w:rsidR="005E770E" w:rsidRDefault="005E770E" w:rsidP="001D44FE">
      <w:pPr>
        <w:pStyle w:val="BodyText"/>
        <w:spacing w:after="0" w:line="240" w:lineRule="auto"/>
        <w:ind w:left="720"/>
      </w:pPr>
      <w:r>
        <w:tab/>
      </w:r>
      <w:r>
        <w:tab/>
      </w:r>
      <w:r>
        <w:tab/>
        <w:t>G4S Secure Solutions (USA), Inc.</w:t>
      </w:r>
    </w:p>
    <w:p w:rsidR="005E770E" w:rsidRDefault="005E770E" w:rsidP="001D44FE">
      <w:pPr>
        <w:pStyle w:val="BodyText"/>
        <w:spacing w:after="0" w:line="240" w:lineRule="auto"/>
        <w:ind w:left="720"/>
      </w:pPr>
      <w:r>
        <w:tab/>
      </w:r>
      <w:r>
        <w:tab/>
      </w:r>
      <w:r>
        <w:tab/>
        <w:t>Regions Security Services, Inc.</w:t>
      </w:r>
    </w:p>
    <w:p w:rsidR="005E770E" w:rsidRDefault="005E770E" w:rsidP="001D44FE">
      <w:pPr>
        <w:pStyle w:val="BodyText"/>
        <w:spacing w:after="0" w:line="240" w:lineRule="auto"/>
        <w:ind w:left="720"/>
      </w:pPr>
      <w:r>
        <w:tab/>
      </w:r>
      <w:r>
        <w:tab/>
      </w:r>
      <w:r>
        <w:tab/>
        <w:t>Security Investigations Group</w:t>
      </w:r>
    </w:p>
    <w:p w:rsidR="005E770E" w:rsidRDefault="005E770E" w:rsidP="001D44FE">
      <w:pPr>
        <w:pStyle w:val="BodyText"/>
        <w:spacing w:after="0" w:line="240" w:lineRule="auto"/>
        <w:ind w:left="720"/>
      </w:pPr>
      <w:r>
        <w:tab/>
      </w:r>
      <w:r>
        <w:tab/>
      </w:r>
      <w:r>
        <w:tab/>
        <w:t>U.S. Security Associates, Inc.</w:t>
      </w:r>
    </w:p>
    <w:p w:rsidR="005E770E" w:rsidRDefault="005E770E" w:rsidP="001D44FE">
      <w:pPr>
        <w:pStyle w:val="BodyText"/>
        <w:spacing w:after="0" w:line="240" w:lineRule="auto"/>
        <w:ind w:left="720"/>
      </w:pPr>
      <w:r>
        <w:tab/>
      </w:r>
      <w:r>
        <w:tab/>
      </w:r>
      <w:r>
        <w:tab/>
        <w:t>United American Security, LLC</w:t>
      </w:r>
    </w:p>
    <w:p w:rsidR="005E770E" w:rsidRDefault="005E770E" w:rsidP="005E770E">
      <w:pPr>
        <w:pStyle w:val="BodyText"/>
        <w:spacing w:after="0" w:line="240" w:lineRule="auto"/>
      </w:pPr>
    </w:p>
    <w:p w:rsidR="00553383" w:rsidRDefault="00597ADA" w:rsidP="006A789C">
      <w:pPr>
        <w:spacing w:after="0" w:line="240" w:lineRule="auto"/>
      </w:pPr>
      <w:r>
        <w:t xml:space="preserve">The Committee convened on April 1, 2016, to consider the proposals received </w:t>
      </w:r>
      <w:r w:rsidRPr="00553383">
        <w:t>in order to move it forward to the Commission</w:t>
      </w:r>
      <w:r>
        <w:t xml:space="preserve">. </w:t>
      </w:r>
      <w:r w:rsidR="00553383">
        <w:t xml:space="preserve">The Committee </w:t>
      </w:r>
      <w:r w:rsidR="006A789C">
        <w:t xml:space="preserve">ranked </w:t>
      </w:r>
      <w:r w:rsidR="00553383">
        <w:t>the proposals pursuant to the following evaluation criteria established in the RFQ.</w:t>
      </w:r>
    </w:p>
    <w:p w:rsidR="00553383" w:rsidRDefault="00553383" w:rsidP="005E770E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9"/>
      </w:tblGrid>
      <w:tr w:rsidR="00553383" w:rsidTr="006A789C">
        <w:trPr>
          <w:jc w:val="center"/>
        </w:trPr>
        <w:tc>
          <w:tcPr>
            <w:tcW w:w="3789" w:type="dxa"/>
          </w:tcPr>
          <w:p w:rsidR="00553383" w:rsidRDefault="00553383" w:rsidP="006A789C">
            <w:pPr>
              <w:jc w:val="both"/>
            </w:pPr>
            <w:r>
              <w:t>Proposer</w:t>
            </w:r>
            <w:r w:rsidR="006A789C">
              <w:t xml:space="preserve"> Experience and Qualifications</w:t>
            </w:r>
          </w:p>
        </w:tc>
      </w:tr>
      <w:tr w:rsidR="00553383" w:rsidTr="006A789C">
        <w:trPr>
          <w:jc w:val="center"/>
        </w:trPr>
        <w:tc>
          <w:tcPr>
            <w:tcW w:w="3789" w:type="dxa"/>
          </w:tcPr>
          <w:p w:rsidR="00553383" w:rsidRDefault="00553383" w:rsidP="005E770E">
            <w:pPr>
              <w:jc w:val="both"/>
            </w:pPr>
            <w:r>
              <w:t>References</w:t>
            </w:r>
          </w:p>
        </w:tc>
      </w:tr>
      <w:tr w:rsidR="00553383" w:rsidTr="006A789C">
        <w:trPr>
          <w:jc w:val="center"/>
        </w:trPr>
        <w:tc>
          <w:tcPr>
            <w:tcW w:w="3789" w:type="dxa"/>
          </w:tcPr>
          <w:p w:rsidR="00553383" w:rsidRDefault="00553383" w:rsidP="005E770E">
            <w:pPr>
              <w:jc w:val="both"/>
            </w:pPr>
            <w:r>
              <w:t>Pending Lawsuits</w:t>
            </w:r>
          </w:p>
        </w:tc>
      </w:tr>
      <w:tr w:rsidR="00553383" w:rsidTr="006A789C">
        <w:trPr>
          <w:jc w:val="center"/>
        </w:trPr>
        <w:tc>
          <w:tcPr>
            <w:tcW w:w="3789" w:type="dxa"/>
          </w:tcPr>
          <w:p w:rsidR="00553383" w:rsidRDefault="00553383" w:rsidP="005E770E">
            <w:pPr>
              <w:jc w:val="both"/>
            </w:pPr>
            <w:r>
              <w:t>Cost Proposal</w:t>
            </w:r>
          </w:p>
        </w:tc>
      </w:tr>
    </w:tbl>
    <w:p w:rsidR="005E770E" w:rsidRDefault="005E770E" w:rsidP="005E770E">
      <w:pPr>
        <w:spacing w:after="0" w:line="240" w:lineRule="auto"/>
        <w:jc w:val="both"/>
      </w:pPr>
      <w:r>
        <w:tab/>
      </w:r>
      <w:r>
        <w:tab/>
      </w:r>
    </w:p>
    <w:p w:rsidR="005E770E" w:rsidRDefault="00553383" w:rsidP="006A789C">
      <w:pPr>
        <w:pStyle w:val="BodyText"/>
        <w:spacing w:after="0" w:line="240" w:lineRule="auto"/>
        <w:jc w:val="left"/>
      </w:pPr>
      <w:r w:rsidRPr="00553383">
        <w:t>At this meeting</w:t>
      </w:r>
      <w:r>
        <w:t>,</w:t>
      </w:r>
      <w:r w:rsidRPr="00553383">
        <w:t xml:space="preserve"> Finance was asked to obtain hourly rates from several of the other vendors who did not provide rates in order to compare costs</w:t>
      </w:r>
      <w:r>
        <w:t xml:space="preserve">. </w:t>
      </w:r>
      <w:r w:rsidR="006A789C">
        <w:t xml:space="preserve">Finance compiled the </w:t>
      </w:r>
      <w:r w:rsidR="00597ADA">
        <w:t xml:space="preserve">cost </w:t>
      </w:r>
      <w:r w:rsidR="006A789C">
        <w:t xml:space="preserve">information as requested </w:t>
      </w:r>
      <w:r w:rsidRPr="00553383">
        <w:t>and forwarded t</w:t>
      </w:r>
      <w:r w:rsidR="006A789C">
        <w:t xml:space="preserve">o the Committee for further consideration on April 13, 2016. </w:t>
      </w:r>
    </w:p>
    <w:p w:rsidR="006A789C" w:rsidRDefault="006A789C" w:rsidP="00553383">
      <w:pPr>
        <w:pStyle w:val="BodyText"/>
        <w:spacing w:after="0" w:line="240" w:lineRule="auto"/>
      </w:pPr>
    </w:p>
    <w:p w:rsidR="008C55EB" w:rsidRDefault="00C2690D" w:rsidP="006A789C">
      <w:pPr>
        <w:pStyle w:val="BodyText"/>
        <w:spacing w:line="240" w:lineRule="auto"/>
        <w:jc w:val="left"/>
      </w:pPr>
      <w:r>
        <w:lastRenderedPageBreak/>
        <w:t xml:space="preserve">The </w:t>
      </w:r>
      <w:r w:rsidR="006A789C">
        <w:t>Committee reconvened on May 13, 2016 at</w:t>
      </w:r>
      <w:r>
        <w:t xml:space="preserve"> 1:3</w:t>
      </w:r>
      <w:r w:rsidR="005C6148">
        <w:t xml:space="preserve">0 </w:t>
      </w:r>
      <w:r w:rsidR="008C55EB">
        <w:t xml:space="preserve">to discuss </w:t>
      </w:r>
      <w:r w:rsidR="006A789C">
        <w:t>the proposers’ qualifications, experience and rate proposals</w:t>
      </w:r>
      <w:r w:rsidR="001D44FE">
        <w:t xml:space="preserve"> and selected a short list of the following three proposers deemed to be the most highly qualified from those security firms submitting responses to this RFQ.</w:t>
      </w:r>
      <w:r w:rsidR="006A789C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3330"/>
        <w:gridCol w:w="1170"/>
      </w:tblGrid>
      <w:tr w:rsidR="001D44FE" w:rsidTr="00D567BA">
        <w:trPr>
          <w:jc w:val="center"/>
        </w:trPr>
        <w:tc>
          <w:tcPr>
            <w:tcW w:w="2808" w:type="dxa"/>
          </w:tcPr>
          <w:p w:rsidR="001D44FE" w:rsidRDefault="001D44FE" w:rsidP="005E770E">
            <w:pPr>
              <w:rPr>
                <w:b/>
              </w:rPr>
            </w:pPr>
            <w:r>
              <w:rPr>
                <w:b/>
              </w:rPr>
              <w:t>Proposer</w:t>
            </w:r>
          </w:p>
        </w:tc>
        <w:tc>
          <w:tcPr>
            <w:tcW w:w="3330" w:type="dxa"/>
          </w:tcPr>
          <w:p w:rsidR="001D44FE" w:rsidRDefault="001D44FE" w:rsidP="005E770E">
            <w:pPr>
              <w:rPr>
                <w:b/>
              </w:rPr>
            </w:pPr>
            <w:r>
              <w:rPr>
                <w:b/>
              </w:rPr>
              <w:t>Rate Proposal</w:t>
            </w:r>
          </w:p>
        </w:tc>
        <w:tc>
          <w:tcPr>
            <w:tcW w:w="1170" w:type="dxa"/>
          </w:tcPr>
          <w:p w:rsidR="001D44FE" w:rsidRDefault="001D44FE" w:rsidP="005E770E">
            <w:pPr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1D44FE" w:rsidTr="00D567BA">
        <w:trPr>
          <w:jc w:val="center"/>
        </w:trPr>
        <w:tc>
          <w:tcPr>
            <w:tcW w:w="2808" w:type="dxa"/>
          </w:tcPr>
          <w:p w:rsidR="001D44FE" w:rsidRPr="001D44FE" w:rsidRDefault="001D44FE" w:rsidP="005E770E">
            <w:r>
              <w:t>Regions Security Services</w:t>
            </w:r>
          </w:p>
        </w:tc>
        <w:tc>
          <w:tcPr>
            <w:tcW w:w="3330" w:type="dxa"/>
          </w:tcPr>
          <w:p w:rsidR="001D44FE" w:rsidRDefault="001D44FE" w:rsidP="005E770E">
            <w:r>
              <w:t>$14.25 per hour</w:t>
            </w:r>
          </w:p>
          <w:p w:rsidR="001D44FE" w:rsidRPr="001D44FE" w:rsidRDefault="001D44FE" w:rsidP="005E770E">
            <w:r>
              <w:t>$21.37 per hour OT/holiday rate</w:t>
            </w:r>
          </w:p>
        </w:tc>
        <w:tc>
          <w:tcPr>
            <w:tcW w:w="1170" w:type="dxa"/>
          </w:tcPr>
          <w:p w:rsidR="001D44FE" w:rsidRPr="001D44FE" w:rsidRDefault="001D44FE" w:rsidP="00D567BA">
            <w:pPr>
              <w:jc w:val="center"/>
            </w:pPr>
            <w:r>
              <w:t>1</w:t>
            </w:r>
          </w:p>
        </w:tc>
      </w:tr>
      <w:tr w:rsidR="001D44FE" w:rsidTr="00D567BA">
        <w:trPr>
          <w:jc w:val="center"/>
        </w:trPr>
        <w:tc>
          <w:tcPr>
            <w:tcW w:w="2808" w:type="dxa"/>
          </w:tcPr>
          <w:p w:rsidR="001D44FE" w:rsidRPr="001D44FE" w:rsidRDefault="001D44FE" w:rsidP="005E770E">
            <w:r>
              <w:t>U.S. Security Associates</w:t>
            </w:r>
          </w:p>
        </w:tc>
        <w:tc>
          <w:tcPr>
            <w:tcW w:w="3330" w:type="dxa"/>
          </w:tcPr>
          <w:p w:rsidR="001D44FE" w:rsidRDefault="001D44FE" w:rsidP="005E770E">
            <w:r>
              <w:t>$16.31 per hour</w:t>
            </w:r>
          </w:p>
          <w:p w:rsidR="001D44FE" w:rsidRPr="001D44FE" w:rsidRDefault="001D44FE" w:rsidP="005E770E">
            <w:r>
              <w:t>$24.47 per hour OT/holiday rate</w:t>
            </w:r>
          </w:p>
        </w:tc>
        <w:tc>
          <w:tcPr>
            <w:tcW w:w="1170" w:type="dxa"/>
          </w:tcPr>
          <w:p w:rsidR="001D44FE" w:rsidRPr="001D44FE" w:rsidRDefault="001D44FE" w:rsidP="00D567BA">
            <w:pPr>
              <w:jc w:val="center"/>
            </w:pPr>
            <w:r>
              <w:t>2</w:t>
            </w:r>
          </w:p>
        </w:tc>
      </w:tr>
      <w:tr w:rsidR="001D44FE" w:rsidTr="00D567BA">
        <w:trPr>
          <w:jc w:val="center"/>
        </w:trPr>
        <w:tc>
          <w:tcPr>
            <w:tcW w:w="2808" w:type="dxa"/>
          </w:tcPr>
          <w:p w:rsidR="001D44FE" w:rsidRPr="001D44FE" w:rsidRDefault="001D44FE" w:rsidP="005E770E">
            <w:r>
              <w:t>G4S Secure Solutions USA</w:t>
            </w:r>
          </w:p>
        </w:tc>
        <w:tc>
          <w:tcPr>
            <w:tcW w:w="3330" w:type="dxa"/>
          </w:tcPr>
          <w:p w:rsidR="001D44FE" w:rsidRDefault="001D44FE" w:rsidP="005E770E">
            <w:r>
              <w:t>$17.81 per hour</w:t>
            </w:r>
          </w:p>
          <w:p w:rsidR="001D44FE" w:rsidRPr="001D44FE" w:rsidRDefault="001D44FE" w:rsidP="005E770E">
            <w:r>
              <w:t>$24.93 per hour OT/holiday rate</w:t>
            </w:r>
          </w:p>
        </w:tc>
        <w:tc>
          <w:tcPr>
            <w:tcW w:w="1170" w:type="dxa"/>
          </w:tcPr>
          <w:p w:rsidR="001D44FE" w:rsidRPr="001D44FE" w:rsidRDefault="001D44FE" w:rsidP="00D567BA">
            <w:pPr>
              <w:jc w:val="center"/>
            </w:pPr>
            <w:r>
              <w:t>3</w:t>
            </w:r>
          </w:p>
        </w:tc>
      </w:tr>
    </w:tbl>
    <w:p w:rsidR="001D44FE" w:rsidRDefault="001D44FE" w:rsidP="005E770E">
      <w:pPr>
        <w:spacing w:line="240" w:lineRule="auto"/>
        <w:rPr>
          <w:b/>
        </w:rPr>
      </w:pPr>
    </w:p>
    <w:p w:rsidR="00332A35" w:rsidRPr="00332A35" w:rsidRDefault="00597ADA" w:rsidP="005E770E">
      <w:pPr>
        <w:spacing w:line="240" w:lineRule="auto"/>
        <w:rPr>
          <w:b/>
        </w:rPr>
      </w:pPr>
      <w:r>
        <w:rPr>
          <w:b/>
        </w:rPr>
        <w:t>Recommendation to the City Commission:</w:t>
      </w:r>
    </w:p>
    <w:p w:rsidR="00381D83" w:rsidRDefault="00381D83" w:rsidP="001D44FE">
      <w:pPr>
        <w:pStyle w:val="BodyText"/>
        <w:spacing w:line="240" w:lineRule="auto"/>
        <w:jc w:val="left"/>
      </w:pPr>
      <w:r>
        <w:t xml:space="preserve">All present agreed to recommend </w:t>
      </w:r>
      <w:r w:rsidR="001D44FE">
        <w:t xml:space="preserve">that the </w:t>
      </w:r>
      <w:r>
        <w:t xml:space="preserve">City Commission </w:t>
      </w:r>
      <w:r w:rsidR="001D44FE">
        <w:t xml:space="preserve">approve the resolution accepting the recommendation of the Review Committee, pertaining to the ranking of proposals received pursuant to City RFQ No. 15-019, for Security Officers for City Hall Properties, </w:t>
      </w:r>
      <w:r w:rsidR="00D567BA">
        <w:t>and</w:t>
      </w:r>
      <w:r w:rsidR="00352CAC">
        <w:t xml:space="preserve"> award </w:t>
      </w:r>
      <w:r w:rsidR="00D567BA">
        <w:t>a contract</w:t>
      </w:r>
      <w:r w:rsidR="00352CAC">
        <w:t xml:space="preserve"> to </w:t>
      </w:r>
      <w:r w:rsidR="00D567BA">
        <w:t>Regions Security Services and further authorizing negotiating</w:t>
      </w:r>
      <w:r w:rsidR="00597ADA">
        <w:t xml:space="preserve"> an agreement for these services.</w:t>
      </w:r>
    </w:p>
    <w:p w:rsidR="00D567BA" w:rsidRDefault="00CA3D6A" w:rsidP="001D44FE">
      <w:pPr>
        <w:pStyle w:val="BodyText"/>
        <w:spacing w:line="240" w:lineRule="auto"/>
        <w:jc w:val="left"/>
      </w:pPr>
      <w:r>
        <w:t>The Committee also recommended</w:t>
      </w:r>
      <w:bookmarkStart w:id="0" w:name="_GoBack"/>
      <w:bookmarkEnd w:id="0"/>
      <w:r w:rsidR="00D567BA">
        <w:t xml:space="preserve"> that a resolution be prepared authorizing the City to extend the agreement with SOS Security and to exceed </w:t>
      </w:r>
      <w:r>
        <w:t>the</w:t>
      </w:r>
      <w:r w:rsidR="00D567BA">
        <w:t xml:space="preserve"> annual amount of $25,000 purchase threshold for a single vendor</w:t>
      </w:r>
      <w:r w:rsidR="00496594">
        <w:t xml:space="preserve"> </w:t>
      </w:r>
      <w:r w:rsidR="00496594">
        <w:t>until such time that the City can negotiate and execute an agreement with Regions Security Services.</w:t>
      </w:r>
    </w:p>
    <w:p w:rsidR="00034BE5" w:rsidRPr="00712A85" w:rsidRDefault="00034BE5" w:rsidP="005E770E">
      <w:pPr>
        <w:pStyle w:val="BodyText"/>
        <w:spacing w:line="240" w:lineRule="auto"/>
      </w:pPr>
      <w:r>
        <w:t xml:space="preserve">The meeting was adjourned at </w:t>
      </w:r>
      <w:r w:rsidR="00D567BA">
        <w:t>2:1</w:t>
      </w:r>
      <w:r w:rsidR="00D14664">
        <w:t>0</w:t>
      </w:r>
      <w:r>
        <w:t xml:space="preserve"> p.m.</w:t>
      </w:r>
    </w:p>
    <w:sectPr w:rsidR="00034BE5" w:rsidRPr="0071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73A"/>
    <w:multiLevelType w:val="hybridMultilevel"/>
    <w:tmpl w:val="7AD8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266CA"/>
    <w:multiLevelType w:val="hybridMultilevel"/>
    <w:tmpl w:val="4A806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35"/>
    <w:rsid w:val="00034BE5"/>
    <w:rsid w:val="001D44FE"/>
    <w:rsid w:val="00332A35"/>
    <w:rsid w:val="003445C6"/>
    <w:rsid w:val="00352CAC"/>
    <w:rsid w:val="00381D83"/>
    <w:rsid w:val="003E1928"/>
    <w:rsid w:val="003F3929"/>
    <w:rsid w:val="00401F75"/>
    <w:rsid w:val="00496594"/>
    <w:rsid w:val="00524E00"/>
    <w:rsid w:val="00553383"/>
    <w:rsid w:val="00597ADA"/>
    <w:rsid w:val="005C6148"/>
    <w:rsid w:val="005E770E"/>
    <w:rsid w:val="00680C7E"/>
    <w:rsid w:val="006A789C"/>
    <w:rsid w:val="0077652E"/>
    <w:rsid w:val="007A1388"/>
    <w:rsid w:val="008361AF"/>
    <w:rsid w:val="008C55EB"/>
    <w:rsid w:val="00A37ECD"/>
    <w:rsid w:val="00BD64A1"/>
    <w:rsid w:val="00C2690D"/>
    <w:rsid w:val="00C64FA2"/>
    <w:rsid w:val="00CA3D6A"/>
    <w:rsid w:val="00D14664"/>
    <w:rsid w:val="00D567BA"/>
    <w:rsid w:val="00E51BA5"/>
    <w:rsid w:val="00E75502"/>
    <w:rsid w:val="00EE6AED"/>
    <w:rsid w:val="00F83465"/>
    <w:rsid w:val="00FC1DBF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D8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D83"/>
    <w:rPr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81D8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81D83"/>
  </w:style>
  <w:style w:type="table" w:styleId="TableGrid">
    <w:name w:val="Table Grid"/>
    <w:basedOn w:val="TableNormal"/>
    <w:uiPriority w:val="59"/>
    <w:rsid w:val="0055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D8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D83"/>
    <w:rPr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81D8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81D83"/>
  </w:style>
  <w:style w:type="table" w:styleId="TableGrid">
    <w:name w:val="Table Grid"/>
    <w:basedOn w:val="TableNormal"/>
    <w:uiPriority w:val="59"/>
    <w:rsid w:val="0055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Stevens</dc:creator>
  <cp:lastModifiedBy>Stevens, Tania</cp:lastModifiedBy>
  <cp:revision>5</cp:revision>
  <cp:lastPrinted>2016-03-09T21:13:00Z</cp:lastPrinted>
  <dcterms:created xsi:type="dcterms:W3CDTF">2016-05-13T18:45:00Z</dcterms:created>
  <dcterms:modified xsi:type="dcterms:W3CDTF">2016-05-13T20:19:00Z</dcterms:modified>
</cp:coreProperties>
</file>